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2C85" w14:textId="77777777" w:rsidR="00F16142" w:rsidRDefault="003E063C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  <w:bookmarkStart w:id="0" w:name="_top"/>
      <w:bookmarkEnd w:id="0"/>
      <w:r>
        <w:rPr>
          <w:sz w:val="30"/>
        </w:rPr>
        <w:t>□</w:t>
      </w:r>
      <w:r>
        <w:rPr>
          <w:rFonts w:ascii="HY헤드라인M"/>
          <w:sz w:val="30"/>
        </w:rPr>
        <w:t xml:space="preserve"> </w:t>
      </w:r>
      <w:r>
        <w:rPr>
          <w:rFonts w:ascii="HY헤드라인M" w:hint="eastAsia"/>
          <w:sz w:val="30"/>
        </w:rPr>
        <w:t xml:space="preserve">Conference </w:t>
      </w:r>
      <w:r>
        <w:rPr>
          <w:rFonts w:ascii="HY헤드라인M"/>
          <w:sz w:val="30"/>
        </w:rPr>
        <w:t xml:space="preserve">Highlight </w:t>
      </w:r>
    </w:p>
    <w:p w14:paraId="6B13CA26" w14:textId="77777777" w:rsidR="00F16142" w:rsidRDefault="00F16142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</w:p>
    <w:p w14:paraId="713EF9DB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  <w:jc w:val="center"/>
      </w:pPr>
      <w:r>
        <w:rPr>
          <w:rFonts w:ascii="Times New Roman"/>
          <w:b/>
          <w:color w:val="010101"/>
          <w:sz w:val="26"/>
        </w:rPr>
        <w:t xml:space="preserve">Highlights of the </w:t>
      </w:r>
      <w:proofErr w:type="spellStart"/>
      <w:r>
        <w:rPr>
          <w:rFonts w:ascii="Times New Roman"/>
          <w:b/>
          <w:color w:val="010101"/>
          <w:sz w:val="26"/>
        </w:rPr>
        <w:t>Digital@Sea</w:t>
      </w:r>
      <w:proofErr w:type="spellEnd"/>
      <w:r>
        <w:rPr>
          <w:rFonts w:ascii="Times New Roman"/>
          <w:b/>
          <w:color w:val="010101"/>
          <w:sz w:val="26"/>
        </w:rPr>
        <w:t xml:space="preserve"> Asia-Pacific 2021 Conference </w:t>
      </w:r>
    </w:p>
    <w:p w14:paraId="18042FB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</w:pPr>
    </w:p>
    <w:p w14:paraId="73A6206B" w14:textId="5CA3C382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The first edition of the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Asia-Pacific Conference, which replaces the former e-Navigation Underway Conference Asia-Pacific (ENUW AP) from 2017 to 2020, was virtually held under the theme </w:t>
      </w:r>
      <w:r>
        <w:rPr>
          <w:rFonts w:ascii="Times New Roman"/>
          <w:color w:val="010101"/>
          <w:sz w:val="26"/>
        </w:rPr>
        <w:t>“</w:t>
      </w:r>
      <w:r>
        <w:rPr>
          <w:rFonts w:ascii="Times New Roman"/>
          <w:i/>
          <w:color w:val="010101"/>
          <w:sz w:val="26"/>
        </w:rPr>
        <w:t>Leading Digitalization of Maritime Industry</w:t>
      </w:r>
      <w:r>
        <w:rPr>
          <w:rFonts w:ascii="Times New Roman"/>
          <w:color w:val="010101"/>
          <w:sz w:val="26"/>
        </w:rPr>
        <w:t>”</w:t>
      </w:r>
      <w:r>
        <w:rPr>
          <w:rFonts w:ascii="Times New Roman"/>
          <w:color w:val="010101"/>
          <w:sz w:val="26"/>
        </w:rPr>
        <w:t xml:space="preserve"> on 8 to 9 September 2021, in Sejong City, Republic of Korea</w:t>
      </w:r>
      <w:r w:rsidRPr="003D5896">
        <w:rPr>
          <w:rFonts w:ascii="Times New Roman"/>
          <w:color w:val="auto"/>
          <w:sz w:val="26"/>
        </w:rPr>
        <w:t xml:space="preserve">. </w:t>
      </w:r>
      <w:r w:rsidR="00A3529E" w:rsidRPr="003D5896">
        <w:rPr>
          <w:rFonts w:ascii="Times New Roman"/>
          <w:color w:val="auto"/>
          <w:sz w:val="26"/>
        </w:rPr>
        <w:t>80</w:t>
      </w:r>
      <w:r w:rsidR="003D5896" w:rsidRPr="003D5896">
        <w:rPr>
          <w:rFonts w:ascii="Times New Roman"/>
          <w:color w:val="auto"/>
          <w:sz w:val="26"/>
        </w:rPr>
        <w:t>5</w:t>
      </w:r>
      <w:r w:rsidRPr="003D5896">
        <w:rPr>
          <w:rFonts w:ascii="Times New Roman"/>
          <w:color w:val="auto"/>
          <w:sz w:val="26"/>
        </w:rPr>
        <w:t xml:space="preserve"> participants from more than </w:t>
      </w:r>
      <w:r w:rsidR="00A3529E" w:rsidRPr="003D5896">
        <w:rPr>
          <w:rFonts w:ascii="Times New Roman"/>
          <w:color w:val="auto"/>
          <w:sz w:val="26"/>
        </w:rPr>
        <w:t>5</w:t>
      </w:r>
      <w:r w:rsidR="003D5896">
        <w:rPr>
          <w:rFonts w:ascii="Times New Roman"/>
          <w:color w:val="auto"/>
          <w:sz w:val="26"/>
        </w:rPr>
        <w:t>0</w:t>
      </w:r>
      <w:r w:rsidRPr="003D5896">
        <w:rPr>
          <w:rFonts w:ascii="Times New Roman"/>
          <w:color w:val="auto"/>
          <w:sz w:val="26"/>
        </w:rPr>
        <w:t xml:space="preserve"> countries</w:t>
      </w:r>
      <w:r w:rsidR="00993439" w:rsidRPr="003D5896">
        <w:rPr>
          <w:rFonts w:ascii="Times New Roman"/>
          <w:color w:val="auto"/>
          <w:sz w:val="26"/>
        </w:rPr>
        <w:t xml:space="preserve"> </w:t>
      </w:r>
      <w:r w:rsidR="00993439">
        <w:rPr>
          <w:rFonts w:ascii="Times New Roman" w:hint="eastAsia"/>
          <w:color w:val="010101"/>
          <w:sz w:val="26"/>
        </w:rPr>
        <w:t>p</w:t>
      </w:r>
      <w:r w:rsidR="00993439">
        <w:rPr>
          <w:rFonts w:ascii="Times New Roman"/>
          <w:color w:val="010101"/>
          <w:sz w:val="26"/>
        </w:rPr>
        <w:t>articipated in</w:t>
      </w:r>
      <w:r>
        <w:rPr>
          <w:rFonts w:ascii="Times New Roman"/>
          <w:color w:val="010101"/>
          <w:sz w:val="26"/>
        </w:rPr>
        <w:t xml:space="preserve"> the conference.</w:t>
      </w:r>
    </w:p>
    <w:p w14:paraId="47368C87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12B9E10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Wishing to increase international cooperation in harmonizing and facilitating maritime digitalization and decarbonization industries for the sake of enhancing maritime safety and efficiency as well as shared growth among regions, </w:t>
      </w:r>
    </w:p>
    <w:p w14:paraId="7FF97B3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20F7D78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Noting that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Initiative under the umbrella of IALA consists of a series of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conferences replacing the former series of e-Navigation underway conferences (ENUW),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Clusters and Capacity Building Workshops,</w:t>
      </w:r>
    </w:p>
    <w:p w14:paraId="5F13151A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7A1D6A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The conference adopted its highlights as follows:</w:t>
      </w:r>
    </w:p>
    <w:p w14:paraId="5598EFF5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673A5D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1. The conference discussed the cutting-edge technologies and industries related to maritime digitalization, focusing on global harmonization, data connectivity, and inter-operability among them as well as decarbonization through them; mainly e-Navigation, MASS, cyber security, maritime informatics, and maritime connectivity platform. </w:t>
      </w:r>
    </w:p>
    <w:p w14:paraId="452F317D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3E8A5237" w14:textId="149A01D1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i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1.1. </w:t>
      </w:r>
      <w:r w:rsidR="00926144">
        <w:rPr>
          <w:rFonts w:ascii="Times New Roman"/>
          <w:i/>
          <w:color w:val="010101"/>
          <w:sz w:val="26"/>
        </w:rPr>
        <w:t>Opening Session</w:t>
      </w:r>
    </w:p>
    <w:p w14:paraId="71ED0D23" w14:textId="47E4E356" w:rsidR="00926144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  <w:r>
        <w:rPr>
          <w:rFonts w:ascii="Times New Roman"/>
          <w:color w:val="010101"/>
          <w:sz w:val="26"/>
        </w:rPr>
        <w:t>When setting the theme for the conference the importance of digitalization, digital data exchange and international collaboration in the maritime domain was highlighted.</w:t>
      </w:r>
    </w:p>
    <w:p w14:paraId="5B80DE99" w14:textId="60AA3ED6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2.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1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Maritime Digital Transformation for De-Carbonization</w:t>
      </w:r>
    </w:p>
    <w:p w14:paraId="7E39709B" w14:textId="3ACFBF98" w:rsidR="00926144" w:rsidRPr="00383FF6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lastRenderedPageBreak/>
        <w:t>In the first session the correlation between digitalization and the efforts for de-</w:t>
      </w:r>
      <w:proofErr w:type="spellStart"/>
      <w:r w:rsidRPr="00383FF6">
        <w:rPr>
          <w:rFonts w:ascii="Times New Roman"/>
          <w:color w:val="010101"/>
          <w:sz w:val="26"/>
        </w:rPr>
        <w:t>carbonisation</w:t>
      </w:r>
      <w:proofErr w:type="spellEnd"/>
      <w:r w:rsidRPr="00383FF6">
        <w:rPr>
          <w:rFonts w:ascii="Times New Roman"/>
          <w:color w:val="010101"/>
          <w:sz w:val="26"/>
        </w:rPr>
        <w:t xml:space="preserve"> of shipping was illustrated. It was made clear that the digital transformation, especially with aspects of Sea Traffic Management and the advent of Just-In-Time arrivals in ports will support the environmental footprint reduction of the maritime transport sector.</w:t>
      </w:r>
    </w:p>
    <w:p w14:paraId="79E86C85" w14:textId="672C79DF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2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Platform; Focus on Informatics</w:t>
      </w:r>
    </w:p>
    <w:p w14:paraId="304C4278" w14:textId="34617200" w:rsidR="00926144" w:rsidRDefault="0092614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When looking at existing and evolving platforms enabling digital data exchange, the aspect of interoperability across the globe</w:t>
      </w:r>
      <w:r w:rsidR="00383FF6">
        <w:rPr>
          <w:rFonts w:ascii="Times New Roman"/>
          <w:color w:val="010101"/>
          <w:sz w:val="26"/>
        </w:rPr>
        <w:t xml:space="preserve"> </w:t>
      </w:r>
      <w:r w:rsidR="00951489">
        <w:rPr>
          <w:rFonts w:ascii="Times New Roman" w:hint="eastAsia"/>
          <w:color w:val="010101"/>
          <w:sz w:val="26"/>
        </w:rPr>
        <w:t>w</w:t>
      </w:r>
      <w:r w:rsidR="00383FF6">
        <w:rPr>
          <w:rFonts w:ascii="Times New Roman"/>
          <w:color w:val="010101"/>
          <w:sz w:val="26"/>
        </w:rPr>
        <w:t>as highlighted.</w:t>
      </w:r>
      <w:r w:rsidR="00383FF6" w:rsidRPr="00383FF6">
        <w:rPr>
          <w:rFonts w:ascii="Times New Roman"/>
          <w:color w:val="010101"/>
          <w:sz w:val="26"/>
        </w:rPr>
        <w:t xml:space="preserve"> This </w:t>
      </w:r>
      <w:r w:rsidR="00D632C7">
        <w:rPr>
          <w:rFonts w:ascii="Times New Roman"/>
          <w:color w:val="010101"/>
          <w:sz w:val="26"/>
        </w:rPr>
        <w:t>is not</w:t>
      </w:r>
      <w:r w:rsidR="00D632C7" w:rsidRPr="00383FF6">
        <w:rPr>
          <w:rFonts w:ascii="Times New Roman"/>
          <w:color w:val="010101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 xml:space="preserve">seen as a pure technical issue, but cooperation between organizations, above and beyond regulatory requirements, will be needed. This in conjunction with interoperable platforms like MCP and the use of international </w:t>
      </w:r>
      <w:r w:rsidR="00383FF6" w:rsidRPr="00993439">
        <w:rPr>
          <w:rFonts w:ascii="Times New Roman"/>
          <w:color w:val="auto"/>
          <w:sz w:val="26"/>
        </w:rPr>
        <w:t>standards</w:t>
      </w:r>
      <w:r w:rsidR="00D632C7" w:rsidRPr="00993439">
        <w:rPr>
          <w:rFonts w:ascii="Times New Roman"/>
          <w:color w:val="auto"/>
          <w:sz w:val="26"/>
        </w:rPr>
        <w:t xml:space="preserve">, </w:t>
      </w:r>
      <w:proofErr w:type="gramStart"/>
      <w:r w:rsidR="00D632C7" w:rsidRPr="00993439">
        <w:rPr>
          <w:rFonts w:ascii="Times New Roman"/>
          <w:color w:val="auto"/>
          <w:sz w:val="26"/>
        </w:rPr>
        <w:t>e.g.</w:t>
      </w:r>
      <w:proofErr w:type="gramEnd"/>
      <w:r w:rsidR="00D632C7" w:rsidRPr="00993439">
        <w:rPr>
          <w:rFonts w:ascii="Times New Roman"/>
          <w:color w:val="auto"/>
          <w:sz w:val="26"/>
        </w:rPr>
        <w:t xml:space="preserve"> for</w:t>
      </w:r>
      <w:r w:rsidR="00383FF6" w:rsidRPr="00993439">
        <w:rPr>
          <w:rFonts w:ascii="Times New Roman"/>
          <w:color w:val="auto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>Port Call Messages and Route Exchange</w:t>
      </w:r>
      <w:r w:rsidR="00D632C7">
        <w:rPr>
          <w:rFonts w:ascii="Times New Roman"/>
          <w:color w:val="010101"/>
          <w:sz w:val="26"/>
        </w:rPr>
        <w:t>,</w:t>
      </w:r>
      <w:r w:rsidR="00383FF6" w:rsidRPr="00383FF6">
        <w:rPr>
          <w:rFonts w:ascii="Times New Roman"/>
          <w:color w:val="010101"/>
          <w:sz w:val="26"/>
        </w:rPr>
        <w:t xml:space="preserve"> will be paramount for success.</w:t>
      </w:r>
      <w:r w:rsidR="00951489">
        <w:rPr>
          <w:rFonts w:ascii="Times New Roman"/>
          <w:color w:val="010101"/>
          <w:sz w:val="26"/>
        </w:rPr>
        <w:t xml:space="preserve"> This collaboration is necessary to include the reference to the IMO reference data model. </w:t>
      </w:r>
    </w:p>
    <w:p w14:paraId="3618C276" w14:textId="6EE90C4B" w:rsidR="005251A4" w:rsidRDefault="005251A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23074025" w14:textId="2AB58E20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4.Session</w:t>
      </w:r>
      <w:proofErr w:type="gramEnd"/>
      <w:r>
        <w:rPr>
          <w:rFonts w:ascii="Times New Roman"/>
          <w:color w:val="010101"/>
          <w:sz w:val="26"/>
        </w:rPr>
        <w:t xml:space="preserve"> 3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Core Technology and Standardization</w:t>
      </w:r>
    </w:p>
    <w:p w14:paraId="7D899ADE" w14:textId="12780122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Digital data exchange, a prerequisite for e-Navigation and for MASS implementation need high </w:t>
      </w:r>
      <w:proofErr w:type="spellStart"/>
      <w:r>
        <w:rPr>
          <w:rFonts w:ascii="Times New Roman"/>
          <w:color w:val="010101"/>
          <w:sz w:val="26"/>
        </w:rPr>
        <w:t>bandwith</w:t>
      </w:r>
      <w:proofErr w:type="spellEnd"/>
      <w:r>
        <w:rPr>
          <w:rFonts w:ascii="Times New Roman"/>
          <w:color w:val="010101"/>
          <w:sz w:val="26"/>
        </w:rPr>
        <w:t xml:space="preserve"> communication and as such additional frequency band </w:t>
      </w:r>
      <w:r w:rsidR="00951489">
        <w:rPr>
          <w:rFonts w:ascii="Times New Roman"/>
          <w:color w:val="010101"/>
          <w:sz w:val="26"/>
        </w:rPr>
        <w:t xml:space="preserve">allocations </w:t>
      </w:r>
      <w:r>
        <w:rPr>
          <w:rFonts w:ascii="Times New Roman"/>
          <w:color w:val="010101"/>
          <w:sz w:val="26"/>
        </w:rPr>
        <w:t>are required for Maritime Mobile Services. Cyber Risk need to be addressed as digitalization requires resilien</w:t>
      </w:r>
      <w:r w:rsidR="00951489">
        <w:rPr>
          <w:rFonts w:ascii="Times New Roman"/>
          <w:color w:val="010101"/>
          <w:sz w:val="26"/>
        </w:rPr>
        <w:t>t</w:t>
      </w:r>
      <w:r>
        <w:rPr>
          <w:rFonts w:ascii="Times New Roman"/>
          <w:color w:val="010101"/>
          <w:sz w:val="26"/>
        </w:rPr>
        <w:t xml:space="preserve"> systems. Academic research in the new Maritime Informatics discipline underlines the need for global cooperation to gain the benefits of digitalization.</w:t>
      </w:r>
    </w:p>
    <w:p w14:paraId="0C9B61F7" w14:textId="400A060A" w:rsidR="00434717" w:rsidRDefault="00434717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38F1DD77" w14:textId="326D3C73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3.Session</w:t>
      </w:r>
      <w:proofErr w:type="gramEnd"/>
      <w:r>
        <w:rPr>
          <w:rFonts w:ascii="Times New Roman"/>
          <w:color w:val="010101"/>
          <w:sz w:val="26"/>
        </w:rPr>
        <w:t xml:space="preserve"> 4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Harmonization on the Maritime Digital Transformation</w:t>
      </w:r>
    </w:p>
    <w:p w14:paraId="5B968825" w14:textId="275F07C0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IMO regulations</w:t>
      </w:r>
      <w:r w:rsidR="00015BAA">
        <w:rPr>
          <w:rFonts w:ascii="Times New Roman"/>
          <w:color w:val="010101"/>
          <w:sz w:val="26"/>
        </w:rPr>
        <w:t xml:space="preserve"> and other documents, like the IMO Compendium,</w:t>
      </w:r>
      <w:r>
        <w:rPr>
          <w:rFonts w:ascii="Times New Roman"/>
          <w:color w:val="010101"/>
          <w:sz w:val="26"/>
        </w:rPr>
        <w:t xml:space="preserve"> are essential tool</w:t>
      </w:r>
      <w:r w:rsidR="00015BAA">
        <w:rPr>
          <w:rFonts w:ascii="Times New Roman"/>
          <w:color w:val="010101"/>
          <w:sz w:val="26"/>
        </w:rPr>
        <w:t>s</w:t>
      </w:r>
      <w:r>
        <w:rPr>
          <w:rFonts w:ascii="Times New Roman"/>
          <w:color w:val="010101"/>
          <w:sz w:val="26"/>
        </w:rPr>
        <w:t xml:space="preserve"> to </w:t>
      </w:r>
      <w:r w:rsidR="00951489">
        <w:rPr>
          <w:rFonts w:ascii="Times New Roman"/>
          <w:color w:val="010101"/>
          <w:sz w:val="26"/>
        </w:rPr>
        <w:t>e</w:t>
      </w:r>
      <w:r>
        <w:rPr>
          <w:rFonts w:ascii="Times New Roman"/>
          <w:color w:val="010101"/>
          <w:sz w:val="26"/>
        </w:rPr>
        <w:t>nsure global interoperability of digital solutions in maritime transport.</w:t>
      </w:r>
      <w:r w:rsidR="0052387C">
        <w:rPr>
          <w:rFonts w:ascii="Times New Roman"/>
          <w:color w:val="010101"/>
          <w:sz w:val="26"/>
        </w:rPr>
        <w:t xml:space="preserve"> </w:t>
      </w:r>
      <w:r w:rsidR="006675B0">
        <w:rPr>
          <w:rFonts w:ascii="Times New Roman"/>
          <w:color w:val="010101"/>
          <w:sz w:val="26"/>
        </w:rPr>
        <w:t>The Maritime Digital Transformation also need precise position information, like Galileo H</w:t>
      </w:r>
      <w:r w:rsidR="00951489">
        <w:rPr>
          <w:rFonts w:ascii="Times New Roman"/>
          <w:color w:val="010101"/>
          <w:sz w:val="26"/>
        </w:rPr>
        <w:t xml:space="preserve">igh Accuracy </w:t>
      </w:r>
      <w:r w:rsidR="006675B0">
        <w:rPr>
          <w:rFonts w:ascii="Times New Roman"/>
          <w:color w:val="010101"/>
          <w:sz w:val="26"/>
        </w:rPr>
        <w:t>S</w:t>
      </w:r>
      <w:r w:rsidR="00951489">
        <w:rPr>
          <w:rFonts w:ascii="Times New Roman"/>
          <w:color w:val="010101"/>
          <w:sz w:val="26"/>
        </w:rPr>
        <w:t>ervice (HAS)</w:t>
      </w:r>
      <w:r w:rsidR="006675B0">
        <w:rPr>
          <w:rFonts w:ascii="Times New Roman"/>
          <w:color w:val="010101"/>
          <w:sz w:val="26"/>
        </w:rPr>
        <w:t>.</w:t>
      </w:r>
    </w:p>
    <w:p w14:paraId="6D37ED5B" w14:textId="2FF0DC26" w:rsidR="00BD59AD" w:rsidRPr="00383FF6" w:rsidRDefault="00BD59AD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The implementation of the new technology and processes only will be successful, if the people involved, are properly trained.</w:t>
      </w:r>
      <w:r w:rsidR="00A67119">
        <w:rPr>
          <w:rFonts w:ascii="Times New Roman"/>
          <w:color w:val="010101"/>
          <w:sz w:val="26"/>
        </w:rPr>
        <w:t xml:space="preserve"> It has to be realized that full digitalization, expected as Maritime 4.0 in about 2035 will have to include non-SOLAS vessels.</w:t>
      </w:r>
      <w:r w:rsidR="003C283B">
        <w:rPr>
          <w:rFonts w:ascii="Times New Roman"/>
          <w:color w:val="010101"/>
          <w:sz w:val="26"/>
        </w:rPr>
        <w:t xml:space="preserve"> Maritime digital implementation need a global operating cluster, starting with a cluster between Europe and </w:t>
      </w:r>
      <w:proofErr w:type="gramStart"/>
      <w:r w:rsidR="003C283B">
        <w:rPr>
          <w:rFonts w:ascii="Times New Roman"/>
          <w:color w:val="010101"/>
          <w:sz w:val="26"/>
        </w:rPr>
        <w:t>Korea..</w:t>
      </w:r>
      <w:proofErr w:type="gramEnd"/>
    </w:p>
    <w:p w14:paraId="64981B75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</w:p>
    <w:p w14:paraId="3A623C22" w14:textId="668370B7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2. </w:t>
      </w:r>
      <w:r w:rsidR="00993439" w:rsidRPr="00993439">
        <w:rPr>
          <w:rFonts w:ascii="Times New Roman"/>
          <w:color w:val="010101"/>
          <w:sz w:val="26"/>
        </w:rPr>
        <w:t>The conference recognized the necessity to build international and inter-regional test bed clusters as a digital maritime ecosystem. The cluster will validate and verify emerging maritime digital technologies onboard ships operating between the participating regions. It established collaboration and increases harmonization of maritime digitalization globally.</w:t>
      </w:r>
    </w:p>
    <w:p w14:paraId="65A9BC04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571A0F84" w14:textId="43C3DB08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3. The conference recognized that maritime digitalization should align with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vision</w:t>
      </w:r>
      <w:r w:rsidR="00383FF6">
        <w:rPr>
          <w:rFonts w:ascii="Times New Roman"/>
          <w:color w:val="010101"/>
          <w:sz w:val="26"/>
        </w:rPr>
        <w:t xml:space="preserve"> as </w:t>
      </w:r>
      <w:r w:rsidR="00383FF6">
        <w:rPr>
          <w:rFonts w:ascii="Times New Roman"/>
          <w:color w:val="010101"/>
          <w:sz w:val="26"/>
        </w:rPr>
        <w:lastRenderedPageBreak/>
        <w:t>expressed in the e-Navigation Strateg</w:t>
      </w:r>
      <w:r w:rsidR="001E232D">
        <w:rPr>
          <w:rFonts w:ascii="Times New Roman"/>
          <w:color w:val="010101"/>
          <w:sz w:val="26"/>
        </w:rPr>
        <w:t>y</w:t>
      </w:r>
      <w:r w:rsidR="00383FF6">
        <w:rPr>
          <w:rFonts w:ascii="Times New Roman"/>
          <w:color w:val="010101"/>
          <w:sz w:val="26"/>
        </w:rPr>
        <w:t xml:space="preserve"> Implementation plan, but also the work on JIT, IMO Compendium and other aspects. It also need to use the</w:t>
      </w:r>
      <w:r w:rsidR="00842232">
        <w:rPr>
          <w:rFonts w:ascii="Times New Roman"/>
          <w:color w:val="010101"/>
          <w:sz w:val="26"/>
        </w:rPr>
        <w:t xml:space="preserve"> IALA technical service guideline</w:t>
      </w:r>
      <w:r>
        <w:rPr>
          <w:rFonts w:ascii="Times New Roman"/>
          <w:color w:val="010101"/>
          <w:sz w:val="26"/>
        </w:rPr>
        <w:t xml:space="preserve"> and IHO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S-100 standards</w:t>
      </w:r>
      <w:r w:rsidR="00383FF6">
        <w:rPr>
          <w:rFonts w:ascii="Times New Roman"/>
          <w:color w:val="010101"/>
          <w:sz w:val="26"/>
        </w:rPr>
        <w:t xml:space="preserve"> as the basis for the </w:t>
      </w:r>
      <w:r w:rsidR="00383FF6" w:rsidRPr="00383FF6">
        <w:rPr>
          <w:rFonts w:ascii="Times New Roman"/>
          <w:color w:val="010101"/>
          <w:sz w:val="26"/>
        </w:rPr>
        <w:t>Common Mariti</w:t>
      </w:r>
      <w:r w:rsidR="001E232D">
        <w:rPr>
          <w:rFonts w:ascii="Times New Roman"/>
          <w:color w:val="010101"/>
          <w:sz w:val="26"/>
        </w:rPr>
        <w:t>me</w:t>
      </w:r>
      <w:r w:rsidR="00383FF6" w:rsidRPr="00383FF6">
        <w:rPr>
          <w:rFonts w:ascii="Times New Roman"/>
          <w:color w:val="010101"/>
          <w:sz w:val="26"/>
        </w:rPr>
        <w:t xml:space="preserve"> Data Structure (CMDS)</w:t>
      </w:r>
      <w:r w:rsidR="00383FF6">
        <w:rPr>
          <w:rFonts w:ascii="Times New Roman"/>
          <w:color w:val="010101"/>
          <w:sz w:val="26"/>
        </w:rPr>
        <w:t xml:space="preserve"> and in conjunction with the IMO Compendium</w:t>
      </w:r>
      <w:r>
        <w:rPr>
          <w:rFonts w:ascii="Times New Roman"/>
          <w:color w:val="010101"/>
          <w:sz w:val="26"/>
        </w:rPr>
        <w:t xml:space="preserve"> so as to maximize the benefits of digitalization to all stakeholders, and the test-beds need to be </w:t>
      </w:r>
      <w:r w:rsidR="001E232D">
        <w:rPr>
          <w:rFonts w:ascii="Times New Roman"/>
          <w:color w:val="010101"/>
          <w:sz w:val="26"/>
        </w:rPr>
        <w:t xml:space="preserve">a </w:t>
      </w:r>
      <w:r>
        <w:rPr>
          <w:rFonts w:ascii="Times New Roman"/>
          <w:color w:val="010101"/>
          <w:sz w:val="26"/>
        </w:rPr>
        <w:t xml:space="preserve">goal-based cooperation under the MOU for implementing the tested digital technologies in maritime sectors and placing them </w:t>
      </w:r>
      <w:r w:rsidR="001E232D">
        <w:rPr>
          <w:rFonts w:ascii="Times New Roman"/>
          <w:color w:val="010101"/>
          <w:sz w:val="26"/>
        </w:rPr>
        <w:t>in</w:t>
      </w:r>
      <w:r>
        <w:rPr>
          <w:rFonts w:ascii="Times New Roman"/>
          <w:color w:val="010101"/>
          <w:sz w:val="26"/>
        </w:rPr>
        <w:t xml:space="preserve">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documents.</w:t>
      </w:r>
    </w:p>
    <w:p w14:paraId="1DD224AE" w14:textId="44A05AD4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4. </w:t>
      </w:r>
      <w:r w:rsidR="00434717" w:rsidRPr="00891E67">
        <w:rPr>
          <w:rFonts w:ascii="Times New Roman"/>
          <w:color w:val="010101"/>
          <w:sz w:val="26"/>
        </w:rPr>
        <w:t xml:space="preserve">The conference recognized the need for increased collaboration across stakeholders, countries and regions to support </w:t>
      </w:r>
      <w:r w:rsidR="001E232D">
        <w:rPr>
          <w:rFonts w:ascii="Times New Roman"/>
          <w:color w:val="010101"/>
          <w:sz w:val="26"/>
        </w:rPr>
        <w:t>the realization of</w:t>
      </w:r>
      <w:r w:rsidR="00434717" w:rsidRPr="00891E67">
        <w:rPr>
          <w:rFonts w:ascii="Times New Roman"/>
          <w:color w:val="010101"/>
          <w:sz w:val="26"/>
        </w:rPr>
        <w:t xml:space="preserve"> benefits of digitalization, especially safety, efficiency and de-carbonization of </w:t>
      </w:r>
      <w:r w:rsidR="001E232D">
        <w:rPr>
          <w:rFonts w:ascii="Times New Roman"/>
          <w:color w:val="010101"/>
          <w:sz w:val="26"/>
        </w:rPr>
        <w:t>maritime transport</w:t>
      </w:r>
      <w:r w:rsidRPr="00891E67">
        <w:rPr>
          <w:rFonts w:ascii="Times New Roman"/>
          <w:color w:val="010101"/>
          <w:sz w:val="26"/>
        </w:rPr>
        <w:t>.</w:t>
      </w:r>
    </w:p>
    <w:p w14:paraId="47A719F7" w14:textId="709BE2FB" w:rsidR="00D80F4F" w:rsidRDefault="00D80F4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275FB79D" w14:textId="0C8C91CF" w:rsidR="00D80F4F" w:rsidRDefault="00D80F4F" w:rsidP="001E232D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5. The conference realized that</w:t>
      </w:r>
      <w:r w:rsidR="001E232D">
        <w:rPr>
          <w:rFonts w:ascii="Times New Roman"/>
          <w:color w:val="010101"/>
          <w:sz w:val="26"/>
        </w:rPr>
        <w:t xml:space="preserve"> educated, well trained people </w:t>
      </w:r>
      <w:r w:rsidR="001E232D">
        <w:rPr>
          <w:rFonts w:ascii="Times New Roman"/>
          <w:color w:val="010101"/>
          <w:sz w:val="26"/>
        </w:rPr>
        <w:t>–</w:t>
      </w:r>
      <w:r w:rsidR="001E232D">
        <w:rPr>
          <w:rFonts w:ascii="Times New Roman"/>
          <w:color w:val="010101"/>
          <w:sz w:val="26"/>
        </w:rPr>
        <w:t xml:space="preserve"> the human capital,</w:t>
      </w:r>
      <w:r>
        <w:rPr>
          <w:rFonts w:ascii="Times New Roman"/>
          <w:color w:val="010101"/>
          <w:sz w:val="26"/>
        </w:rPr>
        <w:t xml:space="preserve"> </w:t>
      </w:r>
      <w:r w:rsidR="001E232D">
        <w:rPr>
          <w:rFonts w:ascii="Times New Roman"/>
          <w:color w:val="010101"/>
          <w:sz w:val="26"/>
        </w:rPr>
        <w:t xml:space="preserve">are essential for sharing data, effectively using technology and implementing procedures. </w:t>
      </w:r>
    </w:p>
    <w:p w14:paraId="1FFB7098" w14:textId="77777777" w:rsidR="00A67119" w:rsidRPr="00891E67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6E09A68D" w14:textId="59F479DC" w:rsidR="00F16142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6. The conference recognized that the Smart Navigation in Korea established e-Navigation and expanded it in</w:t>
      </w:r>
      <w:r w:rsidR="001E232D">
        <w:rPr>
          <w:rFonts w:ascii="Times New Roman"/>
          <w:color w:val="010101"/>
          <w:sz w:val="26"/>
        </w:rPr>
        <w:t>to</w:t>
      </w:r>
      <w:r>
        <w:rPr>
          <w:rFonts w:ascii="Times New Roman"/>
          <w:color w:val="010101"/>
          <w:sz w:val="26"/>
        </w:rPr>
        <w:t xml:space="preserve"> the non-SOLAS domain.</w:t>
      </w:r>
    </w:p>
    <w:p w14:paraId="73F535BB" w14:textId="6C1C4CF4" w:rsidR="00F16142" w:rsidRDefault="00A67119" w:rsidP="009907B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hint="eastAsia"/>
        </w:rPr>
      </w:pPr>
      <w:r>
        <w:rPr>
          <w:rFonts w:ascii="Times New Roman"/>
          <w:color w:val="010101"/>
          <w:sz w:val="26"/>
        </w:rPr>
        <w:t>7</w:t>
      </w:r>
      <w:r w:rsidR="003E063C">
        <w:rPr>
          <w:rFonts w:ascii="Times New Roman"/>
          <w:color w:val="010101"/>
          <w:sz w:val="26"/>
        </w:rPr>
        <w:t xml:space="preserve">. Discussions during the conference suggested bringing the concept of </w:t>
      </w:r>
      <w:proofErr w:type="spellStart"/>
      <w:r w:rsidR="003E063C">
        <w:rPr>
          <w:rFonts w:ascii="Times New Roman"/>
          <w:color w:val="010101"/>
          <w:sz w:val="26"/>
        </w:rPr>
        <w:t>Digital@Sea</w:t>
      </w:r>
      <w:proofErr w:type="spellEnd"/>
      <w:r w:rsidR="003E063C">
        <w:rPr>
          <w:rFonts w:ascii="Times New Roman"/>
          <w:color w:val="010101"/>
          <w:sz w:val="26"/>
        </w:rPr>
        <w:t xml:space="preserve"> Initiative to the attention of IMO with the aim of providing an opportunity for more countries to participate in this initiative.</w:t>
      </w:r>
    </w:p>
    <w:sectPr w:rsidR="00F16142">
      <w:footnotePr>
        <w:numFmt w:val="lowerRoman"/>
      </w:footnotePr>
      <w:endnotePr>
        <w:numFmt w:val="decimal"/>
      </w:endnotePr>
      <w:pgSz w:w="11906" w:h="16838"/>
      <w:pgMar w:top="1190" w:right="1134" w:bottom="1134" w:left="1100" w:header="624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103B" w14:textId="77777777" w:rsidR="00993439" w:rsidRDefault="00993439" w:rsidP="00993439">
      <w:pPr>
        <w:spacing w:after="0" w:line="240" w:lineRule="auto"/>
      </w:pPr>
      <w:r>
        <w:separator/>
      </w:r>
    </w:p>
  </w:endnote>
  <w:endnote w:type="continuationSeparator" w:id="0">
    <w:p w14:paraId="49E73A0F" w14:textId="77777777" w:rsidR="00993439" w:rsidRDefault="00993439" w:rsidP="0099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신명 중고딕"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고딕 Light">
    <w:panose1 w:val="020D0904000000000000"/>
    <w:charset w:val="81"/>
    <w:family w:val="modern"/>
    <w:pitch w:val="variable"/>
    <w:sig w:usb0="800002A7" w:usb1="09D77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Y헤드라인M">
    <w:altName w:val="바탕"/>
    <w:panose1 w:val="02030600000101010101"/>
    <w:charset w:val="81"/>
    <w:family w:val="roman"/>
    <w:pitch w:val="variable"/>
    <w:sig w:usb0="00000000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3E33" w14:textId="77777777" w:rsidR="00993439" w:rsidRDefault="00993439" w:rsidP="00993439">
      <w:pPr>
        <w:spacing w:after="0" w:line="240" w:lineRule="auto"/>
      </w:pPr>
      <w:r>
        <w:separator/>
      </w:r>
    </w:p>
  </w:footnote>
  <w:footnote w:type="continuationSeparator" w:id="0">
    <w:p w14:paraId="46EC56D6" w14:textId="77777777" w:rsidR="00993439" w:rsidRDefault="00993439" w:rsidP="00993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hideSpellingErrors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425"/>
  <w:characterSpacingControl w:val="doNotCompress"/>
  <w:hdrShapeDefaults>
    <o:shapedefaults v:ext="edit" spidmax="8193">
      <v:textbox inset="5.85pt,.7pt,5.85pt,.7pt"/>
    </o:shapedefaults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sTA3MTY1MjYxMjVQ0lEKTi0uzszPAykwrAUAJSPn4iwAAAA="/>
  </w:docVars>
  <w:rsids>
    <w:rsidRoot w:val="00F16142"/>
    <w:rsid w:val="00015BAA"/>
    <w:rsid w:val="00032DD8"/>
    <w:rsid w:val="00091E65"/>
    <w:rsid w:val="000F663F"/>
    <w:rsid w:val="001E232D"/>
    <w:rsid w:val="00383FF6"/>
    <w:rsid w:val="003C283B"/>
    <w:rsid w:val="003D5896"/>
    <w:rsid w:val="003E063C"/>
    <w:rsid w:val="00434717"/>
    <w:rsid w:val="0052387C"/>
    <w:rsid w:val="005251A4"/>
    <w:rsid w:val="006675B0"/>
    <w:rsid w:val="007A0A4B"/>
    <w:rsid w:val="0081299F"/>
    <w:rsid w:val="00842232"/>
    <w:rsid w:val="00875CB5"/>
    <w:rsid w:val="00891E67"/>
    <w:rsid w:val="00926144"/>
    <w:rsid w:val="00951489"/>
    <w:rsid w:val="009907BF"/>
    <w:rsid w:val="00993439"/>
    <w:rsid w:val="00A144C2"/>
    <w:rsid w:val="00A3529E"/>
    <w:rsid w:val="00A67119"/>
    <w:rsid w:val="00BD59AD"/>
    <w:rsid w:val="00C31FEF"/>
    <w:rsid w:val="00D510D6"/>
    <w:rsid w:val="00D632C7"/>
    <w:rsid w:val="00D80F4F"/>
    <w:rsid w:val="00DC1CFA"/>
    <w:rsid w:val="00DC210C"/>
    <w:rsid w:val="00E45357"/>
    <w:rsid w:val="00E93884"/>
    <w:rsid w:val="00F1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82A9B5"/>
  <w15:docId w15:val="{FA62EC6D-A06E-4DDA-9436-17A0224C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57" w:line="432" w:lineRule="auto"/>
      <w:ind w:left="642" w:hanging="280"/>
      <w:textAlignment w:val="baseline"/>
    </w:pPr>
    <w:rPr>
      <w:rFonts w:ascii="한양신명조" w:eastAsia="한양신명조"/>
      <w:color w:val="000000"/>
      <w:kern w:val="1"/>
      <w:sz w:val="26"/>
    </w:rPr>
  </w:style>
  <w:style w:type="paragraph" w:customStyle="1" w:styleId="1">
    <w:name w:val="1.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중고딕" w:eastAsia="신명 중고딕"/>
      <w:color w:val="000000"/>
      <w:kern w:val="1"/>
      <w:sz w:val="24"/>
    </w:rPr>
  </w:style>
  <w:style w:type="paragraph" w:styleId="a3">
    <w:name w:val="Body Text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styleId="a4">
    <w:name w:val="List Paragraph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ind w:left="720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">
    <w:name w:val="MS바탕글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271" w:lineRule="auto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oListParagraph0">
    <w:name w:val="MsoListParagraph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0">
    <w:name w:val="목록 없음1"/>
    <w:uiPriority w:val="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O">
    <w:name w:val="O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0" w:line="384" w:lineRule="auto"/>
      <w:ind w:left="998" w:hanging="398"/>
      <w:textAlignment w:val="baseline"/>
    </w:pPr>
    <w:rPr>
      <w:rFonts w:ascii="HCI Poppy" w:eastAsia="휴먼명조"/>
      <w:color w:val="000000"/>
      <w:kern w:val="1"/>
      <w:sz w:val="30"/>
    </w:rPr>
  </w:style>
  <w:style w:type="paragraph" w:customStyle="1" w:styleId="xl60">
    <w:name w:val="xl60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1">
    <w:name w:val="xl6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2">
    <w:name w:val="xl62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3">
    <w:name w:val="xl63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5">
    <w:name w:val="xl65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6">
    <w:name w:val="xl66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7">
    <w:name w:val="xl67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68">
    <w:name w:val="xl68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2">
    <w:name w:val="xl7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나눔고딕" w:eastAsia="나눔고딕 Light"/>
      <w:color w:val="000000"/>
      <w:kern w:val="1"/>
      <w:sz w:val="18"/>
    </w:rPr>
  </w:style>
  <w:style w:type="paragraph" w:customStyle="1" w:styleId="xl74">
    <w:name w:val="xl74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kern w:val="1"/>
      <w:sz w:val="22"/>
    </w:rPr>
  </w:style>
  <w:style w:type="paragraph" w:customStyle="1" w:styleId="xl79">
    <w:name w:val="xl79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11">
    <w:name w:val="개요 1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5">
    <w:name w:val="그림캡션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6">
    <w:name w:val="머리말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12">
    <w:name w:val="바탕글1"/>
    <w:uiPriority w:val="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kern w:val="1"/>
    </w:rPr>
  </w:style>
  <w:style w:type="paragraph" w:customStyle="1" w:styleId="110">
    <w:name w:val="바탕글11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7">
    <w:name w:val="발신기관/발신명의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kern w:val="1"/>
      <w:sz w:val="48"/>
    </w:rPr>
  </w:style>
  <w:style w:type="paragraph" w:customStyle="1" w:styleId="a8">
    <w:name w:val="선그리기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  <w:kern w:val="1"/>
    </w:rPr>
  </w:style>
  <w:style w:type="paragraph" w:customStyle="1" w:styleId="a9">
    <w:name w:val="수식캡션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a">
    <w:name w:val="쪽 번호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kern w:val="1"/>
    </w:rPr>
  </w:style>
  <w:style w:type="paragraph" w:customStyle="1" w:styleId="ab">
    <w:name w:val="찾아보기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c">
    <w:name w:val="표캡션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styleId="ad">
    <w:name w:val="annotation reference"/>
    <w:basedOn w:val="a0"/>
    <w:uiPriority w:val="99"/>
    <w:semiHidden/>
    <w:unhideWhenUsed/>
    <w:rsid w:val="0081299F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81299F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81299F"/>
    <w:rPr>
      <w:rFonts w:ascii="맑은 고딕" w:eastAsia="맑은 고딕"/>
      <w:color w:val="000000"/>
      <w:kern w:val="1"/>
    </w:rPr>
  </w:style>
  <w:style w:type="paragraph" w:styleId="af">
    <w:name w:val="annotation subject"/>
    <w:basedOn w:val="ae"/>
    <w:next w:val="ae"/>
    <w:link w:val="Char0"/>
    <w:uiPriority w:val="99"/>
    <w:semiHidden/>
    <w:unhideWhenUsed/>
    <w:rsid w:val="0081299F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81299F"/>
    <w:rPr>
      <w:rFonts w:ascii="맑은 고딕" w:eastAsia="맑은 고딕"/>
      <w:b/>
      <w:bCs/>
      <w:color w:val="000000"/>
      <w:kern w:val="1"/>
    </w:rPr>
  </w:style>
  <w:style w:type="paragraph" w:styleId="af0">
    <w:name w:val="Balloon Text"/>
    <w:basedOn w:val="a"/>
    <w:link w:val="Char1"/>
    <w:uiPriority w:val="99"/>
    <w:semiHidden/>
    <w:unhideWhenUsed/>
    <w:rsid w:val="00D63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D632C7"/>
    <w:rPr>
      <w:rFonts w:ascii="Segoe UI" w:eastAsia="맑은 고딕" w:hAnsi="Segoe UI" w:cs="Segoe UI"/>
      <w:color w:val="000000"/>
      <w:kern w:val="1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993439"/>
    <w:rPr>
      <w:rFonts w:ascii="맑은 고딕" w:eastAsia="맑은 고딕"/>
      <w:color w:val="000000"/>
      <w:kern w:val="1"/>
    </w:rPr>
  </w:style>
  <w:style w:type="paragraph" w:styleId="af2">
    <w:name w:val="footer"/>
    <w:basedOn w:val="a"/>
    <w:link w:val="Char3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993439"/>
    <w:rPr>
      <w:rFonts w:ascii="맑은 고딕" w:eastAsia="맑은 고딕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46A546-7AE7-4F47-A945-E4C00C689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948A29-4D58-4F1C-B9A1-DFD8D130BC25}"/>
</file>

<file path=customXml/itemProps3.xml><?xml version="1.0" encoding="utf-8"?>
<ds:datastoreItem xmlns:ds="http://schemas.openxmlformats.org/officeDocument/2006/customXml" ds:itemID="{2CE0C777-19B2-405D-9868-8E3F4DF18E30}"/>
</file>

<file path=customXml/itemProps4.xml><?xml version="1.0" encoding="utf-8"?>
<ds:datastoreItem xmlns:ds="http://schemas.openxmlformats.org/officeDocument/2006/customXml" ds:itemID="{377C8500-E7DF-418B-A92E-50DFE3F0AD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</dc:creator>
  <cp:lastModifiedBy>정소휘</cp:lastModifiedBy>
  <cp:revision>6</cp:revision>
  <dcterms:created xsi:type="dcterms:W3CDTF">2021-09-30T02:17:00Z</dcterms:created>
  <dcterms:modified xsi:type="dcterms:W3CDTF">2021-10-01T08:46:00Z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